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57A4E99" wp14:editId="30261568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993CD0" w:rsidRDefault="00993CD0" w:rsidP="00993CD0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stručno usavršavanje </w:t>
      </w:r>
    </w:p>
    <w:p w:rsidR="00993CD0" w:rsidRDefault="00993CD0" w:rsidP="00993CD0">
      <w:pPr>
        <w:jc w:val="both"/>
        <w:rPr>
          <w:b/>
          <w:lang w:val="hr-HR"/>
        </w:rPr>
      </w:pPr>
      <w:r>
        <w:rPr>
          <w:b/>
          <w:lang w:val="hr-HR"/>
        </w:rPr>
        <w:t xml:space="preserve">vježbenika, savjetnika i pravosudnih dužnosnika </w:t>
      </w: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>vježbenika, savjetnika u pravosudnim tijelima i pravosudnih dužnosnika</w:t>
      </w: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 xml:space="preserve">Zagreb, </w:t>
      </w:r>
      <w:r w:rsidR="007C74E1">
        <w:rPr>
          <w:lang w:val="hr-HR"/>
        </w:rPr>
        <w:t>4. studeni</w:t>
      </w:r>
      <w:bookmarkStart w:id="0" w:name="_GoBack"/>
      <w:bookmarkEnd w:id="0"/>
      <w:r>
        <w:rPr>
          <w:lang w:val="hr-HR"/>
        </w:rPr>
        <w:t xml:space="preserve"> 2020.</w:t>
      </w:r>
    </w:p>
    <w:p w:rsidR="00993CD0" w:rsidRDefault="00993CD0" w:rsidP="00993CD0">
      <w:pPr>
        <w:jc w:val="both"/>
        <w:rPr>
          <w:lang w:val="hr-HR"/>
        </w:rPr>
      </w:pPr>
    </w:p>
    <w:p w:rsidR="00993CD0" w:rsidRDefault="00993CD0" w:rsidP="00993CD0">
      <w:pPr>
        <w:jc w:val="both"/>
        <w:rPr>
          <w:lang w:val="hr-HR"/>
        </w:rPr>
      </w:pPr>
      <w:r>
        <w:rPr>
          <w:lang w:val="hr-HR"/>
        </w:rPr>
        <w:t xml:space="preserve">Klasa: 003-08/20-03/01 </w:t>
      </w:r>
    </w:p>
    <w:p w:rsidR="00993CD0" w:rsidRDefault="00993CD0" w:rsidP="00993CD0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390-03-01/02-20-</w:t>
      </w:r>
      <w:r w:rsidR="00F95A26">
        <w:rPr>
          <w:lang w:val="hr-HR"/>
        </w:rPr>
        <w:t>78</w:t>
      </w: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7E46EC" w:rsidRPr="00E07BC8" w:rsidRDefault="007E46EC" w:rsidP="00993CD0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 xml:space="preserve">Program </w:t>
      </w:r>
      <w:proofErr w:type="spellStart"/>
      <w:r w:rsidRPr="00E07BC8">
        <w:rPr>
          <w:b/>
          <w:sz w:val="28"/>
          <w:szCs w:val="28"/>
        </w:rPr>
        <w:t>stručnog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usavršavanja</w:t>
      </w:r>
      <w:proofErr w:type="spellEnd"/>
      <w:r w:rsidRPr="00E07BC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  <w:r w:rsidR="00F2610D">
        <w:rPr>
          <w:b/>
          <w:sz w:val="28"/>
          <w:szCs w:val="28"/>
        </w:rPr>
        <w:t xml:space="preserve">za </w:t>
      </w:r>
      <w:proofErr w:type="spellStart"/>
      <w:r w:rsidR="00F2610D">
        <w:rPr>
          <w:b/>
          <w:sz w:val="28"/>
          <w:szCs w:val="28"/>
        </w:rPr>
        <w:t>stečajne</w:t>
      </w:r>
      <w:proofErr w:type="spellEnd"/>
      <w:r w:rsidR="00F2610D">
        <w:rPr>
          <w:b/>
          <w:sz w:val="28"/>
          <w:szCs w:val="28"/>
        </w:rPr>
        <w:t xml:space="preserve"> </w:t>
      </w:r>
      <w:proofErr w:type="spellStart"/>
      <w:r w:rsidR="00F2610D">
        <w:rPr>
          <w:b/>
          <w:sz w:val="28"/>
          <w:szCs w:val="28"/>
        </w:rPr>
        <w:t>upravitelje</w:t>
      </w:r>
      <w:proofErr w:type="spellEnd"/>
      <w:r w:rsidR="00993CD0">
        <w:rPr>
          <w:b/>
          <w:sz w:val="28"/>
          <w:szCs w:val="28"/>
        </w:rPr>
        <w:t xml:space="preserve"> </w:t>
      </w:r>
      <w:r w:rsidRPr="00E07BC8">
        <w:rPr>
          <w:b/>
          <w:sz w:val="28"/>
          <w:szCs w:val="28"/>
        </w:rPr>
        <w:t>za 202</w:t>
      </w:r>
      <w:r w:rsidR="004E3F3E">
        <w:rPr>
          <w:b/>
          <w:sz w:val="28"/>
          <w:szCs w:val="28"/>
        </w:rPr>
        <w:t>1</w:t>
      </w:r>
      <w:r w:rsidRPr="00E07BC8">
        <w:rPr>
          <w:b/>
          <w:sz w:val="28"/>
          <w:szCs w:val="28"/>
        </w:rPr>
        <w:t>.</w:t>
      </w:r>
      <w:proofErr w:type="gramEnd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tbl>
      <w:tblPr>
        <w:tblStyle w:val="Reetkatablice"/>
        <w:tblpPr w:leftFromText="180" w:rightFromText="180" w:vertAnchor="text" w:horzAnchor="margin" w:tblpXSpec="center" w:tblpY="-45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F95A26" w:rsidRPr="00E13976" w:rsidTr="00F95A26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95A26" w:rsidRPr="00F2610D" w:rsidRDefault="00F95A26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95A26" w:rsidRPr="00F2610D" w:rsidRDefault="00F95A26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8789" w:type="dxa"/>
            <w:shd w:val="clear" w:color="auto" w:fill="FFFF00"/>
            <w:vAlign w:val="center"/>
          </w:tcPr>
          <w:p w:rsidR="00F95A26" w:rsidRPr="009F1D0C" w:rsidRDefault="00F95A26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F95A26" w:rsidRPr="009F1D0C" w:rsidRDefault="00F95A26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F1D0C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  <w:lang w:val="hr-HR"/>
              </w:rPr>
              <w:t>Predstečajni</w:t>
            </w:r>
            <w:proofErr w:type="spellEnd"/>
            <w:r w:rsidRPr="009F1D0C">
              <w:rPr>
                <w:rFonts w:ascii="Times New Roman" w:hAnsi="Times New Roman" w:cs="Times New Roman"/>
                <w:b/>
                <w:lang w:val="hr-HR"/>
              </w:rPr>
              <w:t xml:space="preserve"> postupak</w:t>
            </w:r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Pokretanje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prethodni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postupak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otvaranje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Tijela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r w:rsidRPr="009F1D0C">
              <w:rPr>
                <w:rFonts w:ascii="Times New Roman" w:hAnsi="Times New Roman" w:cs="Times New Roman"/>
                <w:b/>
              </w:rPr>
              <w:t xml:space="preserve">Sud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kao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tijelo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upravitelj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dužnosti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obveze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razlučni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izlučni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vjerovnici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Troškovi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Unovčenje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imovine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dužnika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Namirenje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stečajnih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vjerovnika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vjerovnika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mase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izlučnih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razlučnih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vjerovnika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Pobijanje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pravnih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radnji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dužnika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Izrada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provedba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plana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Zaključenje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obustava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Osnove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obveznog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Osnove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stvarnog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Osnove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zemljišno-knjižnih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prava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Pravni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položaj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jamaca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predstečajnom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stečajnom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postupku</w:t>
            </w:r>
            <w:proofErr w:type="spellEnd"/>
          </w:p>
        </w:tc>
      </w:tr>
      <w:tr w:rsidR="00F95A26" w:rsidRPr="00E13976" w:rsidTr="00F95A26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F95A26" w:rsidRPr="00F2610D" w:rsidRDefault="00F95A26" w:rsidP="00993CD0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8789" w:type="dxa"/>
          </w:tcPr>
          <w:p w:rsidR="00F95A26" w:rsidRPr="009F1D0C" w:rsidRDefault="00F95A26" w:rsidP="00993C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Porezni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aspekt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stečajnom</w:t>
            </w:r>
            <w:proofErr w:type="spellEnd"/>
            <w:r w:rsidRPr="009F1D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D0C">
              <w:rPr>
                <w:rFonts w:ascii="Times New Roman" w:hAnsi="Times New Roman" w:cs="Times New Roman"/>
                <w:b/>
              </w:rPr>
              <w:t>postupku</w:t>
            </w:r>
            <w:proofErr w:type="spellEnd"/>
          </w:p>
        </w:tc>
      </w:tr>
    </w:tbl>
    <w:p w:rsidR="00903319" w:rsidRDefault="00903319" w:rsidP="00993CD0">
      <w:pPr>
        <w:ind w:left="993"/>
      </w:pPr>
    </w:p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7E46EC" w:rsidRDefault="007E46EC"/>
    <w:p w:rsidR="00F2610D" w:rsidRDefault="00F2610D" w:rsidP="00DB5B38"/>
    <w:p w:rsidR="009F1D0C" w:rsidRDefault="009F1D0C" w:rsidP="00DB5B38"/>
    <w:p w:rsidR="00993CD0" w:rsidRDefault="00993CD0" w:rsidP="00DB5B38"/>
    <w:p w:rsidR="00993CD0" w:rsidRDefault="00993CD0" w:rsidP="00DB5B38"/>
    <w:p w:rsidR="00993CD0" w:rsidRDefault="00993CD0" w:rsidP="00DB5B38"/>
    <w:p w:rsidR="00DB5B38" w:rsidRDefault="00DB5B38" w:rsidP="00DB5B38">
      <w:proofErr w:type="spellStart"/>
      <w:r>
        <w:t>Napomena</w:t>
      </w:r>
      <w:proofErr w:type="spellEnd"/>
      <w:r>
        <w:t xml:space="preserve">: </w:t>
      </w:r>
    </w:p>
    <w:p w:rsidR="007E46EC" w:rsidRDefault="00DB5B38" w:rsidP="00DB5B38">
      <w:r>
        <w:t xml:space="preserve">*Pravosudna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sectPr w:rsidR="007E46EC" w:rsidSect="00993CD0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92" w:rsidRDefault="00844592" w:rsidP="00850DBC">
      <w:r>
        <w:separator/>
      </w:r>
    </w:p>
  </w:endnote>
  <w:endnote w:type="continuationSeparator" w:id="0">
    <w:p w:rsidR="00844592" w:rsidRDefault="00844592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E1" w:rsidRPr="007C74E1">
          <w:rPr>
            <w:noProof/>
            <w:lang w:val="hr-HR"/>
          </w:rPr>
          <w:t>3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92" w:rsidRDefault="00844592" w:rsidP="00850DBC">
      <w:r>
        <w:separator/>
      </w:r>
    </w:p>
  </w:footnote>
  <w:footnote w:type="continuationSeparator" w:id="0">
    <w:p w:rsidR="00844592" w:rsidRDefault="00844592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F5040"/>
    <w:rsid w:val="00191884"/>
    <w:rsid w:val="002B230D"/>
    <w:rsid w:val="00364C0D"/>
    <w:rsid w:val="0042716A"/>
    <w:rsid w:val="00473B72"/>
    <w:rsid w:val="004E3F3E"/>
    <w:rsid w:val="00627D13"/>
    <w:rsid w:val="006408BA"/>
    <w:rsid w:val="007119AD"/>
    <w:rsid w:val="007C74E1"/>
    <w:rsid w:val="007E46EC"/>
    <w:rsid w:val="0083147D"/>
    <w:rsid w:val="00836FA7"/>
    <w:rsid w:val="00844592"/>
    <w:rsid w:val="00850DBC"/>
    <w:rsid w:val="00871A9B"/>
    <w:rsid w:val="00874AA8"/>
    <w:rsid w:val="008B4A6D"/>
    <w:rsid w:val="00903319"/>
    <w:rsid w:val="0098621F"/>
    <w:rsid w:val="00993CD0"/>
    <w:rsid w:val="009F1D0C"/>
    <w:rsid w:val="00AE1AF3"/>
    <w:rsid w:val="00AF29A6"/>
    <w:rsid w:val="00B04ECD"/>
    <w:rsid w:val="00CA38C0"/>
    <w:rsid w:val="00D171A4"/>
    <w:rsid w:val="00DB052E"/>
    <w:rsid w:val="00DB5B38"/>
    <w:rsid w:val="00E13976"/>
    <w:rsid w:val="00E41852"/>
    <w:rsid w:val="00E62BC2"/>
    <w:rsid w:val="00E94F26"/>
    <w:rsid w:val="00EC457B"/>
    <w:rsid w:val="00F2610D"/>
    <w:rsid w:val="00F60904"/>
    <w:rsid w:val="00F95A26"/>
    <w:rsid w:val="00FC09A6"/>
    <w:rsid w:val="00FD184B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A285-C4A4-4F9E-8D19-86E5219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4</cp:revision>
  <dcterms:created xsi:type="dcterms:W3CDTF">2020-11-03T10:28:00Z</dcterms:created>
  <dcterms:modified xsi:type="dcterms:W3CDTF">2020-11-05T11:24:00Z</dcterms:modified>
</cp:coreProperties>
</file>