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90627" w14:textId="77777777" w:rsidR="009744B9" w:rsidRPr="009744B9" w:rsidRDefault="009744B9" w:rsidP="009744B9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231F20"/>
          <w:sz w:val="43"/>
          <w:szCs w:val="43"/>
          <w:lang w:eastAsia="hr-HR"/>
        </w:rPr>
      </w:pPr>
      <w:bookmarkStart w:id="0" w:name="_GoBack"/>
      <w:bookmarkEnd w:id="0"/>
      <w:r w:rsidRPr="009744B9">
        <w:rPr>
          <w:rFonts w:ascii="Times New Roman" w:eastAsia="Times New Roman" w:hAnsi="Times New Roman" w:cs="Times New Roman"/>
          <w:b/>
          <w:bCs/>
          <w:caps/>
          <w:color w:val="231F20"/>
          <w:sz w:val="43"/>
          <w:szCs w:val="43"/>
          <w:lang w:eastAsia="hr-HR"/>
        </w:rPr>
        <w:t>PRAVOSUDNA AKADEMIJA</w:t>
      </w:r>
    </w:p>
    <w:p w14:paraId="562E00E6" w14:textId="77777777" w:rsidR="009744B9" w:rsidRPr="009744B9" w:rsidRDefault="009744B9" w:rsidP="009744B9">
      <w:pPr>
        <w:shd w:val="clear" w:color="auto" w:fill="FFFFFF"/>
        <w:spacing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9"/>
          <w:szCs w:val="29"/>
          <w:lang w:eastAsia="hr-HR"/>
        </w:rPr>
      </w:pPr>
    </w:p>
    <w:p w14:paraId="3DE565C6" w14:textId="77777777" w:rsidR="009744B9" w:rsidRPr="009744B9" w:rsidRDefault="009744B9" w:rsidP="009744B9">
      <w:pPr>
        <w:shd w:val="clear" w:color="auto" w:fill="FFFFFF"/>
        <w:spacing w:after="0" w:line="240" w:lineRule="auto"/>
        <w:jc w:val="right"/>
        <w:textAlignment w:val="baseline"/>
        <w:rPr>
          <w:rFonts w:ascii="Minion Pro" w:eastAsia="Times New Roman" w:hAnsi="Minion Pro" w:cs="Times New Roman"/>
          <w:color w:val="000000"/>
          <w:sz w:val="20"/>
          <w:szCs w:val="20"/>
          <w:lang w:eastAsia="hr-HR"/>
        </w:rPr>
      </w:pPr>
    </w:p>
    <w:p w14:paraId="247E3E30" w14:textId="20CEDEF3" w:rsidR="009744B9" w:rsidRDefault="009744B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 temelju odredbi članka </w:t>
      </w:r>
      <w:r w:rsidR="0008715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23.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08715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stavka</w:t>
      </w:r>
      <w:r w:rsidR="00087154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5. Zakona o Pravosudnoj akademiji (»Narodne novine« broj 52/19</w:t>
      </w:r>
      <w:r w:rsidR="0008715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.,30/23.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 Upravno vijeće Pravosudne akademije donosi</w:t>
      </w:r>
    </w:p>
    <w:p w14:paraId="1A248870" w14:textId="77777777" w:rsidR="009744B9" w:rsidRPr="009744B9" w:rsidRDefault="009744B9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692F1BB" w14:textId="3B4BC22E" w:rsidR="009744B9" w:rsidRPr="009744B9" w:rsidRDefault="00087154" w:rsidP="009744B9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38"/>
          <w:szCs w:val="38"/>
          <w:lang w:eastAsia="hr-HR"/>
        </w:rPr>
      </w:pPr>
      <w:r w:rsidRPr="009744B9">
        <w:rPr>
          <w:rFonts w:ascii="Times New Roman" w:eastAsia="Times New Roman" w:hAnsi="Times New Roman" w:cs="Times New Roman"/>
          <w:b/>
          <w:bCs/>
          <w:color w:val="231F20"/>
          <w:sz w:val="38"/>
          <w:szCs w:val="38"/>
          <w:lang w:eastAsia="hr-HR"/>
        </w:rPr>
        <w:t>PRAVIL</w:t>
      </w:r>
      <w:r>
        <w:rPr>
          <w:rFonts w:ascii="Times New Roman" w:eastAsia="Times New Roman" w:hAnsi="Times New Roman" w:cs="Times New Roman"/>
          <w:b/>
          <w:bCs/>
          <w:color w:val="231F20"/>
          <w:sz w:val="38"/>
          <w:szCs w:val="38"/>
          <w:lang w:eastAsia="hr-HR"/>
        </w:rPr>
        <w:t>A</w:t>
      </w:r>
    </w:p>
    <w:p w14:paraId="4E503985" w14:textId="77777777" w:rsidR="009744B9" w:rsidRDefault="009744B9" w:rsidP="009744B9">
      <w:pPr>
        <w:shd w:val="clear" w:color="auto" w:fill="FFFFFF"/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9"/>
          <w:szCs w:val="29"/>
          <w:lang w:eastAsia="hr-HR"/>
        </w:rPr>
      </w:pPr>
      <w:r w:rsidRPr="009744B9">
        <w:rPr>
          <w:rFonts w:ascii="Times New Roman" w:eastAsia="Times New Roman" w:hAnsi="Times New Roman" w:cs="Times New Roman"/>
          <w:b/>
          <w:bCs/>
          <w:color w:val="231F20"/>
          <w:sz w:val="29"/>
          <w:szCs w:val="29"/>
          <w:lang w:eastAsia="hr-HR"/>
        </w:rPr>
        <w:t>O NAČINU RADA MENTORA U DRŽAVNOJ ŠKOLI ZA PRAVOSUDNE DUŽNOSNIKE</w:t>
      </w:r>
    </w:p>
    <w:p w14:paraId="76BB920F" w14:textId="77777777" w:rsidR="00B72A27" w:rsidRPr="009744B9" w:rsidRDefault="00B72A27" w:rsidP="009744B9">
      <w:pPr>
        <w:shd w:val="clear" w:color="auto" w:fill="FFFFFF"/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9"/>
          <w:szCs w:val="29"/>
          <w:lang w:eastAsia="hr-HR"/>
        </w:rPr>
      </w:pPr>
    </w:p>
    <w:p w14:paraId="14DF3520" w14:textId="64653780" w:rsidR="00DF26BE" w:rsidRPr="009744B9" w:rsidRDefault="009744B9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I.</w:t>
      </w:r>
      <w:r w:rsidR="008E068E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 </w:t>
      </w:r>
      <w:r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UVODNI DIO</w:t>
      </w:r>
    </w:p>
    <w:p w14:paraId="5205C0D9" w14:textId="77777777" w:rsidR="009744B9" w:rsidRPr="009744B9" w:rsidRDefault="009744B9" w:rsidP="009744B9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1.</w:t>
      </w:r>
    </w:p>
    <w:p w14:paraId="41C435D3" w14:textId="1A0F0CB5" w:rsidR="009744B9" w:rsidRPr="009744B9" w:rsidRDefault="009744B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Ovim </w:t>
      </w:r>
      <w:r w:rsidR="00087154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pravil</w:t>
      </w:r>
      <w:r w:rsidR="0008715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ima</w:t>
      </w:r>
      <w:r w:rsidR="00087154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uređuje se način rada mentora u Državnoj školi za pravosudne dužnosnike (u daljnjem tekstu: Škola)</w:t>
      </w:r>
      <w:r w:rsidR="00993C4A" w:rsidRPr="00993C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3C4A">
        <w:rPr>
          <w:rFonts w:ascii="Times New Roman" w:hAnsi="Times New Roman" w:cs="Times New Roman"/>
          <w:bCs/>
          <w:sz w:val="24"/>
          <w:szCs w:val="24"/>
        </w:rPr>
        <w:t xml:space="preserve">te metodologija </w:t>
      </w:r>
      <w:r w:rsidR="002435D9">
        <w:rPr>
          <w:rFonts w:ascii="Times New Roman" w:hAnsi="Times New Roman" w:cs="Times New Roman"/>
          <w:bCs/>
          <w:sz w:val="24"/>
          <w:szCs w:val="24"/>
        </w:rPr>
        <w:t xml:space="preserve">ocjenjivanja </w:t>
      </w:r>
      <w:r w:rsidR="00993C4A">
        <w:rPr>
          <w:rFonts w:ascii="Times New Roman" w:hAnsi="Times New Roman" w:cs="Times New Roman"/>
          <w:bCs/>
          <w:sz w:val="24"/>
          <w:szCs w:val="24"/>
        </w:rPr>
        <w:t xml:space="preserve">praktičnog dijela </w:t>
      </w:r>
      <w:r w:rsidR="00993C4A" w:rsidRPr="00993C4A">
        <w:rPr>
          <w:rFonts w:ascii="Times New Roman" w:hAnsi="Times New Roman" w:cs="Times New Roman"/>
          <w:bCs/>
          <w:sz w:val="24"/>
          <w:szCs w:val="24"/>
        </w:rPr>
        <w:t>stručnog usavršavanja</w:t>
      </w:r>
      <w:r w:rsidR="002435D9">
        <w:rPr>
          <w:rFonts w:ascii="Times New Roman" w:hAnsi="Times New Roman" w:cs="Times New Roman"/>
          <w:bCs/>
          <w:sz w:val="24"/>
          <w:szCs w:val="24"/>
        </w:rPr>
        <w:t xml:space="preserve"> polaznika Škole</w:t>
      </w:r>
      <w:r w:rsidRPr="00993C4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1F51B632" w14:textId="77777777" w:rsidR="009744B9" w:rsidRPr="009744B9" w:rsidRDefault="009744B9" w:rsidP="009744B9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II. MENTORI</w:t>
      </w:r>
    </w:p>
    <w:p w14:paraId="1CC76E23" w14:textId="77777777" w:rsidR="009744B9" w:rsidRPr="009744B9" w:rsidRDefault="009744B9" w:rsidP="009744B9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2.</w:t>
      </w:r>
    </w:p>
    <w:p w14:paraId="29D9039E" w14:textId="77777777" w:rsidR="009744B9" w:rsidRDefault="009744B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Čelnik pravosudnog tijela u kojem je polaznik Škole zaposlen</w:t>
      </w:r>
      <w:r w:rsidR="00B72A2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ili u koje je polaznik Škole upućen radi obavljanja praktičnog dijela stručnog usavršavanja,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određuje mentora radi </w:t>
      </w:r>
      <w:r w:rsidR="005143C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kontinuiranog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praćenja rada i pripremanja polaznika Škole za obnašanje pravosudne dužnosti.</w:t>
      </w:r>
    </w:p>
    <w:p w14:paraId="056C8225" w14:textId="77777777" w:rsidR="005143C9" w:rsidRPr="009744B9" w:rsidRDefault="005143C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EC96C55" w14:textId="77777777" w:rsidR="009744B9" w:rsidRPr="009744B9" w:rsidRDefault="009744B9" w:rsidP="009744B9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3.</w:t>
      </w:r>
    </w:p>
    <w:p w14:paraId="004DB6C6" w14:textId="6A601B83" w:rsidR="009744B9" w:rsidRDefault="009744B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mentora može biti određen </w:t>
      </w:r>
      <w:r w:rsidR="00E3201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pravosudni dužnosnik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koji je</w:t>
      </w:r>
      <w:r w:rsidR="00E3201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završio edukaciju za mentore pri Pravosudnoj akademiji i koji je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to određen godišnjim rasporedom poslova pravosudnog tijela ili odlukom čelnika pravosudnog tijela u kojem obnaša dužnost.</w:t>
      </w:r>
    </w:p>
    <w:p w14:paraId="40697EC1" w14:textId="77777777" w:rsidR="0074542E" w:rsidRPr="009744B9" w:rsidRDefault="0074542E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A308E21" w14:textId="77777777" w:rsidR="009744B9" w:rsidRPr="009744B9" w:rsidRDefault="009744B9" w:rsidP="009744B9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4.</w:t>
      </w:r>
    </w:p>
    <w:p w14:paraId="23C94BF3" w14:textId="040C6DA6" w:rsidR="009744B9" w:rsidRDefault="009744B9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Dužnost mentora je </w:t>
      </w:r>
      <w:r w:rsidR="0074542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kontinuirano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pratiti rad polaznika Škole </w:t>
      </w:r>
      <w:r w:rsidR="0074542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tijekom praktičnog dijela stručnog usavršavanja, unaprjeđivati </w:t>
      </w:r>
      <w:r w:rsidR="002048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njegove </w:t>
      </w:r>
      <w:r w:rsidR="0074542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vještine i praktična znanja za rad u pravosudnim tijelima</w:t>
      </w:r>
      <w:r w:rsidR="002048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pripremati </w:t>
      </w:r>
      <w:r w:rsidR="002048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ga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samostalno, odgovorno, neovisno i nepristrano obnašanje pravosudne dužnosti</w:t>
      </w:r>
      <w:r w:rsidR="002048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 ocijeniti</w:t>
      </w:r>
      <w:r w:rsidR="00F5688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njegov rad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sukladno ovim pravilima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7C737972" w14:textId="77777777" w:rsidR="003A48C5" w:rsidRDefault="003A48C5" w:rsidP="0006325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B0562F1" w14:textId="022EE4C3" w:rsidR="009744B9" w:rsidRPr="009744B9" w:rsidRDefault="00C41BBE" w:rsidP="009744B9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III</w:t>
      </w:r>
      <w:r w:rsidR="009744B9"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. PRAKTIČNI DIO STRUČNOG USAVRŠAVANJA POLAZNIKA</w:t>
      </w:r>
      <w:r w:rsidR="00FF4B9E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 ŠKOLE</w:t>
      </w:r>
    </w:p>
    <w:p w14:paraId="38B189D3" w14:textId="5C0AC5C9" w:rsidR="00CC7D21" w:rsidRDefault="009744B9" w:rsidP="00CC7D21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5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0E012811" w14:textId="77777777" w:rsidR="00CC7D21" w:rsidRDefault="0006325F" w:rsidP="0006325F">
      <w:pPr>
        <w:shd w:val="clear" w:color="auto" w:fill="FFFFFF"/>
        <w:spacing w:before="34"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(1) </w:t>
      </w:r>
      <w:r w:rsidR="00CC7D2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Praktični dio stručnog usavršavanja </w:t>
      </w:r>
      <w:r w:rsidR="004A205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polaznika Škole provodi se </w:t>
      </w:r>
      <w:r w:rsidR="00CC7D2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pravosudnim te, prema potrebi, i u drugim državnim tijelima </w:t>
      </w:r>
      <w:r w:rsidR="004A205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 </w:t>
      </w:r>
      <w:r w:rsidR="00CC7D2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traje jednu godinu.</w:t>
      </w:r>
    </w:p>
    <w:p w14:paraId="5D6AC16E" w14:textId="77777777" w:rsidR="00B0217A" w:rsidRPr="009744B9" w:rsidRDefault="00B0217A" w:rsidP="0006325F">
      <w:pPr>
        <w:shd w:val="clear" w:color="auto" w:fill="FFFFFF"/>
        <w:spacing w:before="34"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38B8E12" w14:textId="24528BA9" w:rsidR="008E068E" w:rsidRDefault="008E0D67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(2)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Tijekom praktičnog dijela stručnog usavršavanja </w:t>
      </w:r>
      <w:r w:rsidR="004B552A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polazni</w:t>
      </w:r>
      <w:r w:rsidR="004B552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ci</w:t>
      </w:r>
      <w:r w:rsidR="004B552A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Škole </w:t>
      </w:r>
      <w:r w:rsidR="004B552A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dužni su surađivati s mentorima te obavljati svoje zadaće na temelju naputaka mentora i u skladu s odgovarajućim odredbama Zakona o sudovima i Zakona o državnom odvjetništvu.</w:t>
      </w:r>
    </w:p>
    <w:p w14:paraId="7BD64511" w14:textId="77777777" w:rsidR="004E0491" w:rsidRDefault="00B1371F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 xml:space="preserve">(3) Tijekom praktičnog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dijela stručnog usavršavanja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mentori su dužni voditi računa da polaznici Škole </w:t>
      </w:r>
      <w:r w:rsidR="005924F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obavezno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obavljaju poslove iz </w:t>
      </w:r>
      <w:r w:rsidR="00F00A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točke b)</w:t>
      </w:r>
      <w:r w:rsidR="00F00AE8" w:rsidRPr="00B1371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F00A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treće grupe poslova iz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članka 7. stavka 2. ovih pravila</w:t>
      </w:r>
      <w:r w:rsidR="003B73E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 najmanje </w:t>
      </w:r>
      <w:r w:rsidR="005924F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jedan od poslova iz jedne od preostale dvije grupe</w:t>
      </w:r>
      <w:r w:rsidR="00D3535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poslova iz članka 7. stavka 2. ovih pravila.</w:t>
      </w:r>
    </w:p>
    <w:p w14:paraId="66249908" w14:textId="77777777" w:rsidR="00DF26BE" w:rsidRDefault="00DF26BE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50FAB7D" w14:textId="594D5330" w:rsidR="00B1371F" w:rsidRDefault="004E0491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(4) </w:t>
      </w:r>
      <w:r w:rsidR="0074275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slučajevima kada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polaznik Škole </w:t>
      </w:r>
      <w:r w:rsidR="002A7EB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zbog veće potrebe za obavljanjem drugih poslova</w:t>
      </w:r>
      <w:r w:rsidR="00966E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određenom razdoblju</w:t>
      </w:r>
      <w:r w:rsidR="00966E28" w:rsidRPr="00966E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66E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tijekom praktičnog </w:t>
      </w:r>
      <w:r w:rsidR="00966E28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dijela stručnog usavršavanja</w:t>
      </w:r>
      <w:r w:rsidR="002A7EB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nije bio zadužen za obavljanje niti jednog od poslova iz prve ili druge grupe poslova</w:t>
      </w:r>
      <w:r w:rsidRPr="004E04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 članka 7. stavka 2. ovih pravila, mentor je </w:t>
      </w:r>
      <w:r w:rsidR="007C14E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</w:t>
      </w:r>
      <w:r w:rsidR="00966E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takvom</w:t>
      </w:r>
      <w:r w:rsidR="007C14E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razdoblju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dužan polazniku Škole</w:t>
      </w:r>
      <w:r w:rsidR="00CB088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umjesto poslova iz te grupe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zadati obavljanje </w:t>
      </w:r>
      <w:r w:rsidR="00966E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tih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drugih</w:t>
      </w:r>
      <w:r w:rsidR="00C8189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poslova koje će ocijeniti sukladno </w:t>
      </w:r>
      <w:r w:rsidR="003F531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članku 8. stavku 2.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ovi</w:t>
      </w:r>
      <w:r w:rsidR="003F531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h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pravil</w:t>
      </w:r>
      <w:r w:rsidR="003F531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6E42AFB1" w14:textId="77777777" w:rsidR="005F6006" w:rsidRDefault="005F6006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3B7C994" w14:textId="48912C27" w:rsidR="007E4F26" w:rsidRDefault="008E068E" w:rsidP="007B50BE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</w:t>
      </w:r>
      <w:r w:rsidR="007E4F26"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V. </w:t>
      </w:r>
      <w:r w:rsidR="007E4F26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OCJENJIVANJE </w:t>
      </w:r>
      <w:r w:rsidR="00391D8B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PRAKTIČNOG DIJELA STRUČNOG USAVRŠAVANJA </w:t>
      </w:r>
      <w:r w:rsidR="007E4F26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POLAZNIKA</w:t>
      </w:r>
      <w:r w:rsidR="00391D8B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 ŠKOLE</w:t>
      </w:r>
    </w:p>
    <w:p w14:paraId="2CBD03D7" w14:textId="77777777" w:rsidR="008E068E" w:rsidRDefault="008E068E" w:rsidP="007B50BE">
      <w:pPr>
        <w:shd w:val="clear" w:color="auto" w:fill="FFFFFF"/>
        <w:spacing w:after="48" w:line="240" w:lineRule="auto"/>
        <w:ind w:firstLine="408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6.</w:t>
      </w:r>
    </w:p>
    <w:p w14:paraId="11087C5E" w14:textId="0457B0D2" w:rsidR="00B0217A" w:rsidRDefault="008E068E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Ocjene mentora temelje se na kontinuiranom praćenju rada polaznika Škole tijekom praktičnog dijela stručnog usavršavanja, uključujući i rad na sudskim odnosno 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državnoodvjetničkim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predmetima, a uzimajući u obzir broj i vrstu izrađenih nacrta odluka te radnu opterećenost polaznika Škole.</w:t>
      </w:r>
    </w:p>
    <w:p w14:paraId="0D97EAE8" w14:textId="77777777" w:rsidR="007E4F26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33FE072" w14:textId="7EF39947" w:rsidR="005F6006" w:rsidRDefault="005F6006" w:rsidP="00391D8B">
      <w:pPr>
        <w:shd w:val="clear" w:color="auto" w:fill="FFFFFF"/>
        <w:spacing w:after="48" w:line="240" w:lineRule="auto"/>
        <w:ind w:firstLine="408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7</w:t>
      </w:r>
      <w:r w:rsidRPr="005F60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7492614F" w14:textId="624C2630" w:rsidR="005F6006" w:rsidRDefault="005F600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(1)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125B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Mentor ocjenjuje rad polaznika 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Škole </w:t>
      </w:r>
      <w:r w:rsidR="00E125B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tijekom 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praktičnog dijela </w:t>
      </w:r>
      <w:r w:rsidR="00E125B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stručnog usavršavanja. Ocjenjivanje se provodi tromjesečno, a konačna ocjena je prosječna ocjena.</w:t>
      </w:r>
    </w:p>
    <w:p w14:paraId="2EAC031E" w14:textId="77777777" w:rsidR="00B0217A" w:rsidRDefault="00B0217A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80073A3" w14:textId="1E61E0C6" w:rsidR="00E125B0" w:rsidRDefault="00E125B0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(2)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Elementi koji se ocjenjuju</w:t>
      </w:r>
      <w:r w:rsid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podijeljeni su u </w:t>
      </w:r>
      <w:r w:rsidR="00D3535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tri </w:t>
      </w:r>
      <w:r w:rsid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grupe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poslova</w:t>
      </w:r>
      <w:r w:rsid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:</w:t>
      </w:r>
    </w:p>
    <w:p w14:paraId="6460F09B" w14:textId="2BF8BD89" w:rsidR="007E4F26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1.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a) Uredski poslovi u sudskoj/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državnoodvjetničkoj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pisarnici</w:t>
      </w:r>
    </w:p>
    <w:p w14:paraId="75FB5394" w14:textId="008BEDB1" w:rsidR="007E4F26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b) Poslovi sudske/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državnoodvjetničke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uprave</w:t>
      </w:r>
    </w:p>
    <w:p w14:paraId="45C25CD6" w14:textId="132A4644" w:rsidR="007E4F26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c) Uzimanje na zapisnik prijava, podnesaka ili izjava stranaka</w:t>
      </w:r>
    </w:p>
    <w:p w14:paraId="4C705230" w14:textId="57D66390" w:rsidR="002168D8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2.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a) </w:t>
      </w:r>
      <w:r w:rsidRP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Vođenje rasprava i izvođenje pojedinih dokaza u sudskom postupku (npr. saslušanje</w:t>
      </w:r>
      <w:r w:rsidR="002168D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</w:p>
    <w:p w14:paraId="080F89BD" w14:textId="42FFF80A" w:rsidR="007E4F26" w:rsidRPr="007E4F26" w:rsidRDefault="002168D8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     </w:t>
      </w:r>
      <w:r w:rsidR="007E4F26" w:rsidRP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svjedoka, očevid)</w:t>
      </w:r>
    </w:p>
    <w:p w14:paraId="5723CAE9" w14:textId="70DB6F12" w:rsidR="007E4F26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b) </w:t>
      </w:r>
      <w:r w:rsidRP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Zastupanje na raspravama i tijekom postupka</w:t>
      </w:r>
    </w:p>
    <w:p w14:paraId="132C2FC7" w14:textId="2D4104C5" w:rsidR="00D27A74" w:rsidRDefault="007E4F26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a)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Izvještavanje o stanju spisa</w:t>
      </w:r>
    </w:p>
    <w:p w14:paraId="2131A4AF" w14:textId="4453B437" w:rsidR="007E4F26" w:rsidRDefault="00B0217A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 w:rsidR="00D27A7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b)</w:t>
      </w:r>
      <w:r w:rsidR="007E4F26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="007E4F26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zrada nacrta odluka, odnosno odluka</w:t>
      </w:r>
    </w:p>
    <w:p w14:paraId="08879AAE" w14:textId="07FA16DC" w:rsidR="00B0217A" w:rsidRDefault="00D27A74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</w:t>
      </w:r>
      <w:r w:rsidR="007E4F2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="008E068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7E4F26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Samostalno provođenje sudskih postupaka, odnosno samostalno obavljanje svi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h </w:t>
      </w:r>
    </w:p>
    <w:p w14:paraId="6E43EFAF" w14:textId="1469004E" w:rsidR="0080195B" w:rsidRDefault="00B0217A" w:rsidP="007B50BE">
      <w:pPr>
        <w:shd w:val="clear" w:color="auto" w:fill="FFFFFF"/>
        <w:spacing w:after="48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</w:t>
      </w:r>
      <w:proofErr w:type="spellStart"/>
      <w:r w:rsidR="007E4F26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državnoodvjetničkih</w:t>
      </w:r>
      <w:proofErr w:type="spellEnd"/>
      <w:r w:rsidR="007E4F26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radnji u pojedinim predmetima</w:t>
      </w:r>
    </w:p>
    <w:p w14:paraId="020D1BCA" w14:textId="77777777" w:rsidR="00E86527" w:rsidRDefault="00E86527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BEFBB1F" w14:textId="77777777" w:rsidR="00AA3428" w:rsidRDefault="00AA3428" w:rsidP="00AA3428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B269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</w:t>
      </w:r>
      <w:r w:rsidR="00B021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</w:t>
      </w:r>
      <w:r w:rsidRPr="009B269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 Prilikom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ocjenjivanja</w:t>
      </w:r>
      <w:r w:rsidRPr="00B97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955A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elementa iz treće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grupe </w:t>
      </w:r>
      <w:r w:rsidR="00C443C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poslova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točke b) </w:t>
      </w:r>
      <w:r w:rsidR="00391D8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prethodnog stavka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</w:t>
      </w:r>
      <w:r w:rsidR="00391D8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og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391D8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članka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mentor je dužan uzeti u obzir sljedeće kriterije:</w:t>
      </w:r>
    </w:p>
    <w:p w14:paraId="46EA6A95" w14:textId="77777777" w:rsidR="00AA3428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-</w:t>
      </w:r>
      <w:r w:rsidRPr="009B269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4E266D">
        <w:rPr>
          <w:rFonts w:ascii="Times New Roman" w:hAnsi="Times New Roman" w:cs="Times New Roman"/>
          <w:bCs/>
          <w:sz w:val="24"/>
          <w:szCs w:val="24"/>
        </w:rPr>
        <w:t>prepoznavanje bitnih elemenata za donošenje odluke</w:t>
      </w:r>
    </w:p>
    <w:p w14:paraId="2A07AA33" w14:textId="77777777" w:rsidR="00AA3428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jasno i određeno navođenje pravnog pitanja</w:t>
      </w:r>
    </w:p>
    <w:p w14:paraId="031938BA" w14:textId="77777777" w:rsidR="00AA3428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analiz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činjeničnog stanja</w:t>
      </w:r>
    </w:p>
    <w:p w14:paraId="79A1F502" w14:textId="77777777" w:rsidR="00AA3428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analiz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pravne situacije</w:t>
      </w:r>
    </w:p>
    <w:p w14:paraId="55414BD5" w14:textId="77777777" w:rsidR="00AA3428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jasno, sažeto i logično obrazloženje činjeničnog i pravnog stanja te</w:t>
      </w:r>
    </w:p>
    <w:p w14:paraId="45070FC2" w14:textId="77777777" w:rsidR="00AA3428" w:rsidRPr="009B269D" w:rsidRDefault="00AA3428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E266D">
        <w:rPr>
          <w:rFonts w:ascii="Times New Roman" w:hAnsi="Times New Roman" w:cs="Times New Roman"/>
          <w:bCs/>
          <w:sz w:val="24"/>
          <w:szCs w:val="24"/>
        </w:rPr>
        <w:t xml:space="preserve"> formaln</w:t>
      </w:r>
      <w:r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Pr="004E266D">
        <w:rPr>
          <w:rFonts w:ascii="Times New Roman" w:hAnsi="Times New Roman" w:cs="Times New Roman"/>
          <w:bCs/>
          <w:sz w:val="24"/>
          <w:szCs w:val="24"/>
        </w:rPr>
        <w:t>potpunost odluke.</w:t>
      </w:r>
    </w:p>
    <w:p w14:paraId="3AF4561A" w14:textId="77777777" w:rsidR="00E86527" w:rsidRDefault="00E86527" w:rsidP="005F6006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0AC4FEC" w14:textId="1B3D5F65" w:rsidR="00E86527" w:rsidRDefault="0006325F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</w:t>
      </w:r>
      <w:r w:rsidR="00C443C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 Mentor je dužan pregledati i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 polaznikom Škole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raspraviti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dovršene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obrazložene </w:t>
      </w:r>
      <w:r w:rsidR="00AB08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nacrte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odluk</w:t>
      </w:r>
      <w:r w:rsidR="00AB08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 odnosno odluke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polaznika </w:t>
      </w:r>
      <w:r w:rsidR="008019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Škole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</w:t>
      </w:r>
      <w:r w:rsidR="00C443C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treće grupe poslova točke b) </w:t>
      </w:r>
      <w:r w:rsidR="008019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stavka 2. ovog članka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roku od 15 dana od kada mu je odluka predana.</w:t>
      </w:r>
      <w:r w:rsidRPr="00AA34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Prilikom raspravljanja mentor je dužan ukazati polazniku Škole na uočene nedostatke.</w:t>
      </w:r>
    </w:p>
    <w:p w14:paraId="2D82D73E" w14:textId="1C815BDE" w:rsidR="007E4F26" w:rsidRDefault="00E86527" w:rsidP="005F6006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                                                        Članak </w:t>
      </w:r>
      <w:r w:rsidR="0050430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8</w:t>
      </w:r>
      <w:r w:rsidRPr="00E8652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0F883C72" w14:textId="77777777" w:rsidR="00E86527" w:rsidRDefault="00E86527" w:rsidP="005F6006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883897F" w14:textId="163432B4" w:rsidR="00584D51" w:rsidRDefault="00BB42D6" w:rsidP="00BA76E1">
      <w:pPr>
        <w:shd w:val="clear" w:color="auto" w:fill="FFFFFF"/>
        <w:spacing w:after="48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(1) </w:t>
      </w:r>
      <w:r w:rsid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Tijekom praktičnog dijela stručnog usavršavanja polaznik </w:t>
      </w:r>
      <w:r w:rsidR="008019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Škole </w:t>
      </w:r>
      <w:r w:rsid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može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ostvariti ukupno 100 bodova</w:t>
      </w:r>
      <w:r w:rsid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a</w:t>
      </w:r>
      <w:r w:rsid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</w:t>
      </w:r>
      <w:r w:rsid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 </w:t>
      </w:r>
      <w:r w:rsidR="008019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pojedinoj grupi </w:t>
      </w:r>
      <w:r w:rsidR="006C455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poslova iz članka 7. stavka 2. ovih pravila</w:t>
      </w:r>
      <w:r w:rsid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sljedeći broj bodova:</w:t>
      </w:r>
    </w:p>
    <w:p w14:paraId="693ED428" w14:textId="732C92E0" w:rsidR="00584D51" w:rsidRPr="00BA76E1" w:rsidRDefault="00584D51" w:rsidP="00BA76E1">
      <w:pPr>
        <w:pStyle w:val="Odlomakpopisa"/>
        <w:numPr>
          <w:ilvl w:val="0"/>
          <w:numId w:val="1"/>
        </w:num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BA76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 prve grupe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poslova </w:t>
      </w:r>
      <w:r w:rsidRPr="00BA76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do </w:t>
      </w:r>
      <w:r w:rsidR="007231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20</w:t>
      </w:r>
      <w:r w:rsidRPr="00BA76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bodova</w:t>
      </w:r>
    </w:p>
    <w:p w14:paraId="2A5DE8A9" w14:textId="445A7FE6" w:rsidR="00E86527" w:rsidRDefault="00584D51" w:rsidP="00BA76E1">
      <w:pPr>
        <w:pStyle w:val="Odlomakpopisa"/>
        <w:numPr>
          <w:ilvl w:val="0"/>
          <w:numId w:val="1"/>
        </w:num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 druge grupe poslova do </w:t>
      </w:r>
      <w:r w:rsidR="007231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40</w:t>
      </w:r>
      <w:r w:rsidRPr="00584D5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bodova</w:t>
      </w:r>
    </w:p>
    <w:p w14:paraId="6FB364F9" w14:textId="3F2F189C" w:rsidR="00BB42D6" w:rsidRDefault="00CA74C6" w:rsidP="00BA76E1">
      <w:pPr>
        <w:pStyle w:val="Odlomakpopisa"/>
        <w:numPr>
          <w:ilvl w:val="0"/>
          <w:numId w:val="1"/>
        </w:num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 treće grupe poslova do </w:t>
      </w:r>
      <w:r w:rsidR="007231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40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bodova</w:t>
      </w:r>
      <w:r w:rsidR="002E0B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50358C88" w14:textId="77777777" w:rsidR="00BB42D6" w:rsidRDefault="00BB42D6">
      <w:pPr>
        <w:shd w:val="clear" w:color="auto" w:fill="FFFFFF"/>
        <w:spacing w:after="48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D0C49A4" w14:textId="1ED9539D" w:rsidR="00DF26BE" w:rsidRDefault="00BB42D6" w:rsidP="007B50BE">
      <w:pPr>
        <w:shd w:val="clear" w:color="auto" w:fill="FFFFFF"/>
        <w:spacing w:after="48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(2) </w:t>
      </w:r>
      <w:r w:rsidR="00BA76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43136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slučajevima iz članka 5. stavka 4. ovih pravila</w:t>
      </w:r>
      <w:r w:rsidR="003F531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polaznik Škole može za druge poslove ostvariti do 20 odnosno do 40 bodova</w:t>
      </w:r>
      <w:r w:rsidR="00D63B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U slučaju da polaznik Škole nije bio zadužen za obavljanje niti jednog od poslova iz prve grupe</w:t>
      </w:r>
      <w:r w:rsidR="00D63B70" w:rsidRPr="00D63B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63B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poslova iz članka 7. stavka 2. ovih pravila tada za druge poslove može ostvariti do 20 bodova dok u slučaju da nije bio zadužen za obavljanje niti jednog od poslova iz druge grupe</w:t>
      </w:r>
      <w:r w:rsidR="00D63B70" w:rsidRPr="00D63B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63B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poslova iz članka 7. stavka 2. ovih pravila tada za druge poslove može ostvariti do 40 bodova. </w:t>
      </w:r>
    </w:p>
    <w:p w14:paraId="3B720380" w14:textId="77777777" w:rsidR="00DF26BE" w:rsidRDefault="00DF26BE" w:rsidP="007B50BE">
      <w:pPr>
        <w:shd w:val="clear" w:color="auto" w:fill="FFFFFF"/>
        <w:spacing w:after="48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FFD270F" w14:textId="77777777" w:rsidR="007758A4" w:rsidRPr="007B50BE" w:rsidRDefault="007758A4" w:rsidP="007B50BE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9.</w:t>
      </w:r>
    </w:p>
    <w:p w14:paraId="62FCC80F" w14:textId="3348A593" w:rsidR="00C0597D" w:rsidRDefault="007758A4" w:rsidP="007B50BE">
      <w:pPr>
        <w:shd w:val="clear" w:color="auto" w:fill="FFFFFF"/>
        <w:spacing w:after="48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entor 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je dužan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brascu 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1 točno 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 određeno 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navesti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E0B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koje </w:t>
      </w:r>
      <w:r w:rsidR="0034497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druge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poslove</w:t>
      </w:r>
      <w:r w:rsidRPr="007758A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je temeljem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članka 5. stavka 4. ovih pravila</w:t>
      </w:r>
      <w:r w:rsidR="00CA74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dao u zadatak 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polaznik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E543F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Škole </w:t>
      </w:r>
      <w:r w:rsidR="00A81F1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te </w:t>
      </w:r>
      <w:r w:rsidR="007D136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ih </w:t>
      </w:r>
      <w:r w:rsidR="00A81F1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bodovati sukladno članku 8. stavku 2. ovih pravila. </w:t>
      </w:r>
    </w:p>
    <w:p w14:paraId="1693D778" w14:textId="77777777" w:rsidR="00780F2B" w:rsidRDefault="00780F2B" w:rsidP="00780F2B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10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40BDDF46" w14:textId="77777777" w:rsidR="00DF26BE" w:rsidRPr="009744B9" w:rsidRDefault="00DF26BE" w:rsidP="00780F2B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F2B619C" w14:textId="77777777" w:rsidR="00780F2B" w:rsidRDefault="00780F2B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(1) Po završetku praktičnog dijela stručnog usavršavanja mentor ispunjava Obrazac 1 koji je sastavni dio ov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ih pravila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4E4C8E10" w14:textId="77777777" w:rsidR="00DF26BE" w:rsidRPr="009744B9" w:rsidRDefault="00DF26BE" w:rsidP="00780F2B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9F2E755" w14:textId="77777777" w:rsidR="00780F2B" w:rsidRPr="009744B9" w:rsidRDefault="00780F2B" w:rsidP="007B50B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 Obrazac 1 mentor ispunjava </w:t>
      </w:r>
      <w:r w:rsidR="00E727A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 potpisuje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dva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primjerka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koja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dostavlja čelniku pravosudnog tijela u kojem mentor obnaša dužnost, a čelnik tijela, nakon što </w:t>
      </w:r>
      <w:r w:rsidR="00E727A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ih supotpiše,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jedan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primjer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ak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10F7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dostavlja 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Pravosudnoj akademiji</w:t>
      </w:r>
      <w:r w:rsidR="00210F7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roku od 15 dana od završetka praktičnog dijela stručnog usavršavanja</w:t>
      </w:r>
      <w:r w:rsidR="00DF2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26A19AD2" w14:textId="77777777" w:rsidR="00780F2B" w:rsidRDefault="00780F2B" w:rsidP="00CA74C6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0BD3632" w14:textId="77777777" w:rsidR="009744B9" w:rsidRPr="009744B9" w:rsidRDefault="009744B9" w:rsidP="009744B9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V. ZAVRŠNE ODREDBE</w:t>
      </w:r>
    </w:p>
    <w:p w14:paraId="15D4CFB8" w14:textId="246CECEC" w:rsidR="009744B9" w:rsidRPr="009744B9" w:rsidRDefault="009744B9" w:rsidP="009744B9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34497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</w:t>
      </w:r>
      <w:r w:rsidR="005B748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2031781F" w14:textId="07EF2622" w:rsidR="009744B9" w:rsidRDefault="009744B9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Ova </w:t>
      </w:r>
      <w:r w:rsidR="00C111F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ravil</w:t>
      </w:r>
      <w:r w:rsidR="0059364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stupa</w:t>
      </w:r>
      <w:r w:rsidR="0034497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ju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na snagu osmoga dana od dana objave u »Narodnim novinama«.</w:t>
      </w:r>
    </w:p>
    <w:p w14:paraId="24DA1288" w14:textId="77777777" w:rsidR="005B7480" w:rsidRPr="009744B9" w:rsidRDefault="005B7480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D05BA01" w14:textId="7C96A045" w:rsidR="009744B9" w:rsidRPr="009744B9" w:rsidRDefault="009744B9" w:rsidP="009744B9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5B7480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</w:t>
      </w:r>
      <w:r w:rsidR="005B748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14:paraId="3FBDA6F5" w14:textId="0232883A" w:rsidR="009744B9" w:rsidRDefault="009744B9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Stupanjem na snagu </w:t>
      </w:r>
      <w:r w:rsidR="00D616BE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</w:t>
      </w:r>
      <w:r w:rsidR="00D61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ih</w:t>
      </w:r>
      <w:r w:rsidR="00D616BE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72D0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ravil</w:t>
      </w:r>
      <w:r w:rsidR="00D61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stavlja se izvan snage Pravilnik o načinu rada mentora u Državnoj školi za pravosudne dužnosnike (»Narodne novine«</w:t>
      </w:r>
      <w:r w:rsidR="00D616B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11/20, 7/21</w:t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).</w:t>
      </w:r>
    </w:p>
    <w:p w14:paraId="69BAE2BD" w14:textId="77777777" w:rsidR="00272D03" w:rsidRPr="009744B9" w:rsidRDefault="00272D03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1994F6A" w14:textId="3075AC5F" w:rsidR="009744B9" w:rsidRPr="009744B9" w:rsidRDefault="009744B9" w:rsidP="009744B9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 xml:space="preserve">Klasa: </w:t>
      </w:r>
      <w:r w:rsidRPr="009744B9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proofErr w:type="spellStart"/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Urbroj</w:t>
      </w:r>
      <w:proofErr w:type="spellEnd"/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: </w:t>
      </w:r>
      <w:r w:rsidRPr="009744B9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Zagreb, </w:t>
      </w:r>
    </w:p>
    <w:p w14:paraId="31887EC9" w14:textId="186FE857" w:rsidR="00272D03" w:rsidRDefault="009744B9" w:rsidP="009744B9">
      <w:pPr>
        <w:shd w:val="clear" w:color="auto" w:fill="FFFFFF"/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Predsjednik</w:t>
      </w:r>
      <w:r w:rsidR="00272D03" w:rsidRPr="00272D0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72D03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Upravnog vijeća</w:t>
      </w:r>
      <w:r w:rsidRPr="009744B9">
        <w:rPr>
          <w:rFonts w:ascii="Minion Pro" w:eastAsia="Times New Roman" w:hAnsi="Minion Pro" w:cs="Times New Roman"/>
          <w:color w:val="231F20"/>
          <w:sz w:val="24"/>
          <w:szCs w:val="24"/>
          <w:lang w:eastAsia="hr-HR"/>
        </w:rPr>
        <w:br/>
      </w: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Pravosudne akademije</w:t>
      </w:r>
    </w:p>
    <w:p w14:paraId="5C74A05D" w14:textId="1831218F" w:rsidR="009744B9" w:rsidRPr="009744B9" w:rsidRDefault="00593641" w:rsidP="009744B9">
      <w:pPr>
        <w:shd w:val="clear" w:color="auto" w:fill="FFFFFF"/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mr.sc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Radovan Dobronić</w:t>
      </w:r>
    </w:p>
    <w:p w14:paraId="0138E43C" w14:textId="77777777" w:rsidR="009744B9" w:rsidRDefault="009744B9" w:rsidP="009744B9">
      <w:pPr>
        <w:shd w:val="clear" w:color="auto" w:fill="FFFFFF"/>
        <w:spacing w:before="255"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lang w:eastAsia="hr-HR"/>
        </w:rPr>
      </w:pPr>
    </w:p>
    <w:p w14:paraId="7E987A1B" w14:textId="77777777" w:rsidR="009744B9" w:rsidRDefault="009744B9" w:rsidP="009744B9">
      <w:pPr>
        <w:shd w:val="clear" w:color="auto" w:fill="FFFFFF"/>
        <w:spacing w:before="255"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lang w:eastAsia="hr-HR"/>
        </w:rPr>
      </w:pPr>
    </w:p>
    <w:p w14:paraId="3A91535F" w14:textId="77777777" w:rsidR="009744B9" w:rsidRDefault="009744B9" w:rsidP="009744B9">
      <w:pPr>
        <w:shd w:val="clear" w:color="auto" w:fill="FFFFFF"/>
        <w:spacing w:before="255"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lang w:eastAsia="hr-HR"/>
        </w:rPr>
      </w:pPr>
      <w:r w:rsidRPr="009744B9">
        <w:rPr>
          <w:rFonts w:ascii="Times New Roman" w:eastAsia="Times New Roman" w:hAnsi="Times New Roman" w:cs="Times New Roman"/>
          <w:b/>
          <w:bCs/>
          <w:color w:val="231F20"/>
          <w:lang w:eastAsia="hr-HR"/>
        </w:rPr>
        <w:t>OBRAZAC BROJ 1</w:t>
      </w:r>
    </w:p>
    <w:p w14:paraId="743848BD" w14:textId="77777777" w:rsidR="00272D03" w:rsidRPr="009744B9" w:rsidRDefault="00272D03" w:rsidP="009744B9">
      <w:pPr>
        <w:shd w:val="clear" w:color="auto" w:fill="FFFFFF"/>
        <w:spacing w:before="255" w:after="48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31F20"/>
          <w:lang w:eastAsia="hr-HR"/>
        </w:rPr>
      </w:pPr>
    </w:p>
    <w:p w14:paraId="2E4B63B6" w14:textId="694239D0" w:rsidR="00272D03" w:rsidRDefault="00DF5C19" w:rsidP="009744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OCJENJIVANJE</w:t>
      </w:r>
      <w:r w:rsidR="009744B9" w:rsidRPr="009744B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 xml:space="preserve"> </w:t>
      </w:r>
      <w:r w:rsidRPr="009744B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RAD</w:t>
      </w:r>
      <w:r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A</w:t>
      </w:r>
      <w:r w:rsidRPr="009744B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POLAZNIKA DRŽAVNE ŠKOLE ZA PRAVOSUDNE DUŽNOSNIKE TIJEKOM PRAKTIČNOG DIJELA NJEGOVA STRUČNOG USAVRŠAVANJA</w:t>
      </w:r>
    </w:p>
    <w:p w14:paraId="1D3D0A12" w14:textId="038A65E6" w:rsidR="009744B9" w:rsidRPr="009744B9" w:rsidRDefault="009744B9" w:rsidP="009744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</w:pPr>
    </w:p>
    <w:p w14:paraId="49B81CEB" w14:textId="77777777" w:rsidR="009744B9" w:rsidRPr="009744B9" w:rsidRDefault="009744B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1. Ime, prezime i dužnost mentora u pravosudnom tijelu:</w:t>
      </w:r>
    </w:p>
    <w:p w14:paraId="373A4F0B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__________________________________________________</w:t>
      </w:r>
    </w:p>
    <w:p w14:paraId="52F73382" w14:textId="77777777" w:rsidR="009744B9" w:rsidRPr="009744B9" w:rsidRDefault="009744B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2. Ime i prezime polaznika:</w:t>
      </w:r>
    </w:p>
    <w:p w14:paraId="707FEC3F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__________________________________________________</w:t>
      </w:r>
    </w:p>
    <w:p w14:paraId="76972DE9" w14:textId="77777777" w:rsidR="009744B9" w:rsidRPr="009744B9" w:rsidRDefault="009744B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 Naziv pravosudnog tijela i odjela u pravosudnom tijelu u kojem je polaznik obavio praktični dio stručnog usavršavanja pod nadzorom gore navedenog mentora:</w:t>
      </w:r>
    </w:p>
    <w:p w14:paraId="20C93BC2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__________________________________________________</w:t>
      </w:r>
    </w:p>
    <w:p w14:paraId="63063B8B" w14:textId="77777777" w:rsidR="009744B9" w:rsidRPr="009744B9" w:rsidRDefault="009744B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4. Vrijeme koje je polaznik proveo na praktičnom dijelu stručnog usavršavanja pod nadzorom gore navedenog mentora: od __________ do __________.</w:t>
      </w:r>
    </w:p>
    <w:p w14:paraId="01273AF0" w14:textId="77777777" w:rsidR="009744B9" w:rsidRPr="009744B9" w:rsidRDefault="009744B9" w:rsidP="009744B9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655" w:type="dxa"/>
        <w:tblInd w:w="-78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066"/>
        <w:gridCol w:w="2689"/>
        <w:gridCol w:w="3100"/>
      </w:tblGrid>
      <w:tr w:rsidR="009744B9" w:rsidRPr="009744B9" w14:paraId="37C931D4" w14:textId="77777777" w:rsidTr="009744B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90CAAD4" w14:textId="77777777" w:rsidR="009744B9" w:rsidRPr="009744B9" w:rsidRDefault="009744B9" w:rsidP="009744B9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Redni broj odluke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6027636" w14:textId="77777777" w:rsidR="009744B9" w:rsidRPr="009744B9" w:rsidRDefault="009744B9" w:rsidP="009744B9">
            <w:pPr>
              <w:spacing w:after="0" w:line="240" w:lineRule="auto"/>
              <w:jc w:val="center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hr-HR"/>
              </w:rPr>
              <w:t>Poslovni broj</w:t>
            </w:r>
          </w:p>
          <w:p w14:paraId="377DC9D6" w14:textId="77777777" w:rsidR="009744B9" w:rsidRPr="009744B9" w:rsidRDefault="009744B9" w:rsidP="009744B9">
            <w:pPr>
              <w:spacing w:after="0" w:line="240" w:lineRule="auto"/>
              <w:jc w:val="center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hr-HR"/>
              </w:rPr>
              <w:t>predmeta</w:t>
            </w: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FB4F6DF" w14:textId="77777777" w:rsidR="009744B9" w:rsidRPr="009744B9" w:rsidRDefault="009744B9" w:rsidP="009744B9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Vrsta odluke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C6FCAF1" w14:textId="77777777" w:rsidR="009744B9" w:rsidRPr="009744B9" w:rsidRDefault="009744B9" w:rsidP="009744B9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hr-HR"/>
              </w:rPr>
              <w:t>Vrsta predmeta</w:t>
            </w:r>
          </w:p>
        </w:tc>
      </w:tr>
      <w:tr w:rsidR="009744B9" w:rsidRPr="009744B9" w14:paraId="337727FC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C896749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4C2A1E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AF8AF7E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1715282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138E2D7C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45B174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5B5B735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42670F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9789F90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580A2B90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0739D2D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61AAD9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3E44F6E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8C7E788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65062FAF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9362761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D917593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058713A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BFC9C55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38C0771D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9603F5D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C6BB71D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B5CB5B2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B31F30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7DD9E09D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AA664FB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C7CDC07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D11F97F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59D47D8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5BAA57A9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A8ADB40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C09F59A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51FD623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166B13E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07357E38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0F1DAD1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96462DC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B317115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2CC0055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131826F2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A37ECCF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E847919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B267AE3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E454942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2258134D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09ACDB6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DD270A4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D384641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2EBFD10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557DBF46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7E92533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644E028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B583514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1F8EBE0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  <w:tr w:rsidR="009744B9" w:rsidRPr="009744B9" w14:paraId="01606596" w14:textId="77777777" w:rsidTr="009744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41FC488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1C38905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56C6913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B07B2BA" w14:textId="77777777" w:rsidR="009744B9" w:rsidRPr="009744B9" w:rsidRDefault="009744B9" w:rsidP="009744B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744B9">
              <w:rPr>
                <w:rFonts w:ascii="Minion Pro" w:eastAsia="Times New Roman" w:hAnsi="Minion Pro" w:cs="Times New Roman"/>
                <w:color w:val="000000"/>
                <w:lang w:eastAsia="hr-HR"/>
              </w:rPr>
              <w:t> </w:t>
            </w:r>
          </w:p>
        </w:tc>
      </w:tr>
    </w:tbl>
    <w:p w14:paraId="4A381E25" w14:textId="77777777" w:rsidR="00DF5C19" w:rsidRDefault="00DF5C1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5E955FE" w14:textId="77777777" w:rsidR="00DF5C19" w:rsidRDefault="00DF5C1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394E856" w14:textId="6F73D1FD" w:rsidR="00D35E28" w:rsidRDefault="009744B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Tijekom praktičnog dijela stručnog usavršavanja polaznik je obavljao sljedeće zadatke:</w:t>
      </w:r>
    </w:p>
    <w:p w14:paraId="42A1F6C5" w14:textId="77777777" w:rsidR="00DF5C19" w:rsidRPr="009744B9" w:rsidRDefault="00DF5C1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A84C100" w14:textId="494BC1E8" w:rsidR="009744B9" w:rsidRPr="009744B9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1.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a)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Uredske poslove u sudskoj/</w:t>
      </w:r>
      <w:proofErr w:type="spellStart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državnoodvjetničkoj</w:t>
      </w:r>
      <w:proofErr w:type="spellEnd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pisarnici</w:t>
      </w:r>
    </w:p>
    <w:p w14:paraId="31ED0A3F" w14:textId="7A5AC9CE" w:rsidR="009744B9" w:rsidRPr="009744B9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b)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Poslove sudske/</w:t>
      </w:r>
      <w:proofErr w:type="spellStart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državnoodvjetničke</w:t>
      </w:r>
      <w:proofErr w:type="spellEnd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uprave</w:t>
      </w:r>
    </w:p>
    <w:p w14:paraId="6DAEE648" w14:textId="07FCCC97" w:rsidR="009744B9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c)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Uzimanje na zapisnik prijava, podnesaka ili izjava stranaka</w:t>
      </w:r>
    </w:p>
    <w:p w14:paraId="69C5385D" w14:textId="77777777" w:rsidR="00DF5C19" w:rsidRPr="009744B9" w:rsidRDefault="00DF5C1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E102A51" w14:textId="50C2441C" w:rsidR="00C0597D" w:rsidRDefault="00C0597D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Broj bodova</w:t>
      </w:r>
      <w:r w:rsidR="00062D8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: </w:t>
      </w:r>
    </w:p>
    <w:p w14:paraId="5D3439CB" w14:textId="77777777" w:rsidR="00C0597D" w:rsidRDefault="00C0597D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79A0ED1" w14:textId="47BBCEC6" w:rsidR="00DF5C19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2.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a)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Vođenje rasprava i izvođenje pojedinih dokaza u sudskom postupku (npr. saslušanje</w:t>
      </w:r>
    </w:p>
    <w:p w14:paraId="2C373B3F" w14:textId="0AF84B4A" w:rsidR="009744B9" w:rsidRPr="009744B9" w:rsidRDefault="00DF5C1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   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 xml:space="preserve">   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svjedoka, očevid)</w:t>
      </w:r>
    </w:p>
    <w:p w14:paraId="5DE8B920" w14:textId="726D02B0" w:rsidR="009744B9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b)</w:t>
      </w:r>
      <w:r w:rsidR="00DF5C1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Zastupanje na raspravama i tijekom postupka</w:t>
      </w:r>
    </w:p>
    <w:p w14:paraId="4412E747" w14:textId="77777777" w:rsidR="00DF5C19" w:rsidRDefault="00DF5C19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</w:p>
    <w:p w14:paraId="243F62CA" w14:textId="22ED4839" w:rsidR="00C0597D" w:rsidRPr="00C0597D" w:rsidRDefault="00C0597D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roj bodova</w:t>
      </w:r>
      <w:r w:rsidR="00062D8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: </w:t>
      </w:r>
    </w:p>
    <w:p w14:paraId="2EBDAA9D" w14:textId="77777777" w:rsidR="00C0597D" w:rsidRPr="009744B9" w:rsidRDefault="00C0597D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D470A99" w14:textId="6F743CB4" w:rsidR="00D93162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a)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Izvještavanje o stanju spisa</w:t>
      </w:r>
    </w:p>
    <w:p w14:paraId="696E66F2" w14:textId="7CB87AC6" w:rsidR="009744B9" w:rsidRPr="009744B9" w:rsidRDefault="00D93162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b) I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zrada nacrta odluka, odnosno odluka</w:t>
      </w:r>
    </w:p>
    <w:p w14:paraId="4B704A2C" w14:textId="74CA8719" w:rsidR="00D93162" w:rsidRDefault="00C0597D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>c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="00D931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Samostalno provođenje sudskih postupaka, odnosno samostalno obavljanje svih</w:t>
      </w:r>
    </w:p>
    <w:p w14:paraId="2DDA6848" w14:textId="18ADBA07" w:rsidR="009744B9" w:rsidRDefault="00D93162" w:rsidP="007B50BE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   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 xml:space="preserve">    </w:t>
      </w:r>
      <w:proofErr w:type="spellStart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državnoodvjetničkih</w:t>
      </w:r>
      <w:proofErr w:type="spellEnd"/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radnji u pojedinim predmetima</w:t>
      </w:r>
    </w:p>
    <w:p w14:paraId="2EDF5405" w14:textId="77777777" w:rsidR="00D93162" w:rsidRDefault="00D93162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8A710B1" w14:textId="4EA30ECE" w:rsidR="00C0597D" w:rsidRPr="00C0597D" w:rsidRDefault="00C0597D" w:rsidP="007B50BE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roj bodova</w:t>
      </w:r>
      <w:r w:rsidR="00062D8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: </w:t>
      </w:r>
    </w:p>
    <w:p w14:paraId="4C383E13" w14:textId="77777777" w:rsidR="00C0597D" w:rsidRDefault="00C0597D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4B24EB3" w14:textId="77777777" w:rsidR="00C0597D" w:rsidRPr="009744B9" w:rsidRDefault="00C0597D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781DCCD" w14:textId="4949BDAB" w:rsidR="009744B9" w:rsidRDefault="00C0597D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4.</w:t>
      </w:r>
      <w:r w:rsidR="00D727E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>D</w:t>
      </w:r>
      <w:r w:rsidR="009744B9"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rugo: ___________________________________________</w:t>
      </w:r>
      <w:r w:rsidR="00D727E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</w:t>
      </w:r>
    </w:p>
    <w:p w14:paraId="7C009204" w14:textId="77777777" w:rsidR="00D727E7" w:rsidRDefault="00D727E7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</w:p>
    <w:p w14:paraId="3CEE92B9" w14:textId="77777777" w:rsidR="00D727E7" w:rsidRDefault="00D727E7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>______________________________________________________________</w:t>
      </w:r>
    </w:p>
    <w:p w14:paraId="277F9302" w14:textId="77777777" w:rsidR="00D727E7" w:rsidRDefault="00D727E7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437785C" w14:textId="77777777" w:rsidR="00062D83" w:rsidRPr="00C0597D" w:rsidRDefault="00062D83" w:rsidP="00062D83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059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roj bodova: </w:t>
      </w:r>
    </w:p>
    <w:p w14:paraId="3F1149F2" w14:textId="77777777" w:rsidR="00D727E7" w:rsidRPr="009744B9" w:rsidRDefault="00D727E7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54EB1AB" w14:textId="77777777" w:rsid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Kandidat je tijekom prakse najčešće obavljao poslove:</w:t>
      </w:r>
    </w:p>
    <w:p w14:paraId="07029E0E" w14:textId="77777777" w:rsidR="00F44C41" w:rsidRPr="009744B9" w:rsidRDefault="00F44C41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A7623A8" w14:textId="77777777" w:rsid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__________________________________________________</w:t>
      </w:r>
    </w:p>
    <w:p w14:paraId="714289B8" w14:textId="77777777" w:rsidR="00F44C41" w:rsidRDefault="00F44C41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0AA3FB2" w14:textId="77777777" w:rsidR="00F44C41" w:rsidRPr="009744B9" w:rsidRDefault="00F44C41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E5A6036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Komentar mentora:</w:t>
      </w:r>
    </w:p>
    <w:p w14:paraId="2C29DB93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CD955B7" w14:textId="77777777" w:rsid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8BA39FB" w14:textId="77777777" w:rsidR="00F44C41" w:rsidRDefault="00F44C41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B4F0642" w14:textId="77777777" w:rsidR="00F44C41" w:rsidRPr="009744B9" w:rsidRDefault="00F44C41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1AFF508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>Potpis mentora:</w:t>
      </w:r>
    </w:p>
    <w:p w14:paraId="365812B1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Potpis čelnika pravosudnog tijela:</w:t>
      </w:r>
    </w:p>
    <w:p w14:paraId="6BD1E185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Mjesto i datum:</w:t>
      </w:r>
    </w:p>
    <w:p w14:paraId="6DC5A79F" w14:textId="77777777" w:rsidR="009744B9" w:rsidRPr="009744B9" w:rsidRDefault="009744B9" w:rsidP="009744B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9744B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Pečat pravosudnog tijela:</w:t>
      </w:r>
    </w:p>
    <w:p w14:paraId="52BC65CA" w14:textId="77777777" w:rsidR="003F0750" w:rsidRDefault="003F0750"/>
    <w:sectPr w:rsidR="003F0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71BCF5" w15:done="0"/>
  <w15:commentEx w15:paraId="186AB7E8" w15:done="0"/>
  <w15:commentEx w15:paraId="511DFBE6" w15:done="0"/>
  <w15:commentEx w15:paraId="06557E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71BCF5" w16cid:durableId="28444EF3"/>
  <w16cid:commentId w16cid:paraId="186AB7E8" w16cid:durableId="28444EF4"/>
  <w16cid:commentId w16cid:paraId="511DFBE6" w16cid:durableId="28444EF5"/>
  <w16cid:commentId w16cid:paraId="06557E60" w16cid:durableId="28444E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D212E"/>
    <w:multiLevelType w:val="hybridMultilevel"/>
    <w:tmpl w:val="088C2A3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slav simic">
    <w15:presenceInfo w15:providerId="Windows Live" w15:userId="3bbbcdf17702b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58"/>
    <w:rsid w:val="00015760"/>
    <w:rsid w:val="00062D83"/>
    <w:rsid w:val="0006325F"/>
    <w:rsid w:val="00087154"/>
    <w:rsid w:val="000E632A"/>
    <w:rsid w:val="00103389"/>
    <w:rsid w:val="00147531"/>
    <w:rsid w:val="00181E4B"/>
    <w:rsid w:val="001A6DCA"/>
    <w:rsid w:val="002048A2"/>
    <w:rsid w:val="00210F73"/>
    <w:rsid w:val="002168D8"/>
    <w:rsid w:val="00235CE5"/>
    <w:rsid w:val="002435D9"/>
    <w:rsid w:val="00267A2E"/>
    <w:rsid w:val="00272D03"/>
    <w:rsid w:val="00285837"/>
    <w:rsid w:val="00292040"/>
    <w:rsid w:val="002A263C"/>
    <w:rsid w:val="002A7EB1"/>
    <w:rsid w:val="002C1EDA"/>
    <w:rsid w:val="002C5571"/>
    <w:rsid w:val="002E0B5C"/>
    <w:rsid w:val="00344975"/>
    <w:rsid w:val="0035406D"/>
    <w:rsid w:val="00383EFA"/>
    <w:rsid w:val="00391D8B"/>
    <w:rsid w:val="003A4073"/>
    <w:rsid w:val="003A48C5"/>
    <w:rsid w:val="003B73EC"/>
    <w:rsid w:val="003D6850"/>
    <w:rsid w:val="003F0750"/>
    <w:rsid w:val="003F5318"/>
    <w:rsid w:val="00431363"/>
    <w:rsid w:val="0043493C"/>
    <w:rsid w:val="004A2058"/>
    <w:rsid w:val="004B552A"/>
    <w:rsid w:val="004E0491"/>
    <w:rsid w:val="005041A4"/>
    <w:rsid w:val="00504307"/>
    <w:rsid w:val="005143C9"/>
    <w:rsid w:val="00584D51"/>
    <w:rsid w:val="005924F5"/>
    <w:rsid w:val="00593641"/>
    <w:rsid w:val="005955A3"/>
    <w:rsid w:val="005B170A"/>
    <w:rsid w:val="005B7480"/>
    <w:rsid w:val="005D0758"/>
    <w:rsid w:val="005D4CA1"/>
    <w:rsid w:val="005F6006"/>
    <w:rsid w:val="006337CF"/>
    <w:rsid w:val="00637693"/>
    <w:rsid w:val="0064178D"/>
    <w:rsid w:val="006C4559"/>
    <w:rsid w:val="0072191D"/>
    <w:rsid w:val="0072313B"/>
    <w:rsid w:val="0072765D"/>
    <w:rsid w:val="00742757"/>
    <w:rsid w:val="0074542E"/>
    <w:rsid w:val="007758A4"/>
    <w:rsid w:val="00780F2B"/>
    <w:rsid w:val="007B4C11"/>
    <w:rsid w:val="007B50BE"/>
    <w:rsid w:val="007C14ED"/>
    <w:rsid w:val="007D136A"/>
    <w:rsid w:val="007E4F26"/>
    <w:rsid w:val="0080195B"/>
    <w:rsid w:val="00865EFE"/>
    <w:rsid w:val="008B102C"/>
    <w:rsid w:val="008E068E"/>
    <w:rsid w:val="008E0D67"/>
    <w:rsid w:val="009115C8"/>
    <w:rsid w:val="009558AF"/>
    <w:rsid w:val="00966E28"/>
    <w:rsid w:val="009744B9"/>
    <w:rsid w:val="009835AB"/>
    <w:rsid w:val="009877A9"/>
    <w:rsid w:val="00993C4A"/>
    <w:rsid w:val="009B269D"/>
    <w:rsid w:val="00A41D61"/>
    <w:rsid w:val="00A81F15"/>
    <w:rsid w:val="00A82111"/>
    <w:rsid w:val="00A9763E"/>
    <w:rsid w:val="00AA3428"/>
    <w:rsid w:val="00AB08F8"/>
    <w:rsid w:val="00B0217A"/>
    <w:rsid w:val="00B125EB"/>
    <w:rsid w:val="00B1371F"/>
    <w:rsid w:val="00B72A27"/>
    <w:rsid w:val="00B97062"/>
    <w:rsid w:val="00BA76E1"/>
    <w:rsid w:val="00BB42D6"/>
    <w:rsid w:val="00BC6109"/>
    <w:rsid w:val="00C0597D"/>
    <w:rsid w:val="00C10AA5"/>
    <w:rsid w:val="00C111FD"/>
    <w:rsid w:val="00C41BBE"/>
    <w:rsid w:val="00C44048"/>
    <w:rsid w:val="00C443CF"/>
    <w:rsid w:val="00C45351"/>
    <w:rsid w:val="00C816F0"/>
    <w:rsid w:val="00C81890"/>
    <w:rsid w:val="00CA74C6"/>
    <w:rsid w:val="00CB0880"/>
    <w:rsid w:val="00CC7D21"/>
    <w:rsid w:val="00D27A74"/>
    <w:rsid w:val="00D31889"/>
    <w:rsid w:val="00D3535D"/>
    <w:rsid w:val="00D35E28"/>
    <w:rsid w:val="00D5277D"/>
    <w:rsid w:val="00D577E0"/>
    <w:rsid w:val="00D616BE"/>
    <w:rsid w:val="00D63B70"/>
    <w:rsid w:val="00D727E7"/>
    <w:rsid w:val="00D93162"/>
    <w:rsid w:val="00DF26BE"/>
    <w:rsid w:val="00DF5C19"/>
    <w:rsid w:val="00E11DE4"/>
    <w:rsid w:val="00E125B0"/>
    <w:rsid w:val="00E16BB4"/>
    <w:rsid w:val="00E32013"/>
    <w:rsid w:val="00E52EF7"/>
    <w:rsid w:val="00E543F8"/>
    <w:rsid w:val="00E55A8E"/>
    <w:rsid w:val="00E727A6"/>
    <w:rsid w:val="00E86527"/>
    <w:rsid w:val="00EC0D0E"/>
    <w:rsid w:val="00F00AE8"/>
    <w:rsid w:val="00F44C41"/>
    <w:rsid w:val="00F56882"/>
    <w:rsid w:val="00F726EE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7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2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55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558A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558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558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558A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558A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558AF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125B0"/>
    <w:pPr>
      <w:ind w:left="720"/>
      <w:contextualSpacing/>
    </w:pPr>
  </w:style>
  <w:style w:type="paragraph" w:styleId="Revizija">
    <w:name w:val="Revision"/>
    <w:hidden/>
    <w:uiPriority w:val="99"/>
    <w:semiHidden/>
    <w:rsid w:val="009877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2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55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558A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558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558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558A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558A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558AF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125B0"/>
    <w:pPr>
      <w:ind w:left="720"/>
      <w:contextualSpacing/>
    </w:pPr>
  </w:style>
  <w:style w:type="paragraph" w:styleId="Revizija">
    <w:name w:val="Revision"/>
    <w:hidden/>
    <w:uiPriority w:val="99"/>
    <w:semiHidden/>
    <w:rsid w:val="00987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3DF0-AA8A-4622-9870-48758BF2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Tepić</dc:creator>
  <cp:lastModifiedBy>Mislav Šimić</cp:lastModifiedBy>
  <cp:revision>2</cp:revision>
  <dcterms:created xsi:type="dcterms:W3CDTF">2023-07-17T10:02:00Z</dcterms:created>
  <dcterms:modified xsi:type="dcterms:W3CDTF">2023-07-17T10:02:00Z</dcterms:modified>
</cp:coreProperties>
</file>